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F6C83" w14:textId="3528C7FD" w:rsidR="000626A9" w:rsidRDefault="000626A9" w:rsidP="000626A9">
      <w:pPr>
        <w:pStyle w:val="Default"/>
        <w:rPr>
          <w:sz w:val="48"/>
          <w:szCs w:val="48"/>
        </w:rPr>
      </w:pPr>
      <w:r>
        <w:rPr>
          <w:sz w:val="48"/>
          <w:szCs w:val="48"/>
        </w:rPr>
        <w:t xml:space="preserve">“ADR-in-a-Box” Video Successfully Rolled Out </w:t>
      </w:r>
      <w:proofErr w:type="gramStart"/>
      <w:r>
        <w:rPr>
          <w:sz w:val="48"/>
          <w:szCs w:val="48"/>
        </w:rPr>
        <w:t>At</w:t>
      </w:r>
      <w:proofErr w:type="gramEnd"/>
      <w:r>
        <w:rPr>
          <w:sz w:val="48"/>
          <w:szCs w:val="48"/>
        </w:rPr>
        <w:t xml:space="preserve"> </w:t>
      </w:r>
      <w:r>
        <w:rPr>
          <w:sz w:val="48"/>
          <w:szCs w:val="48"/>
        </w:rPr>
        <w:t>MD Mediators Convention &amp; Is Ready for Your Use</w:t>
      </w:r>
    </w:p>
    <w:p w14:paraId="788D0ED2" w14:textId="77777777" w:rsidR="000626A9" w:rsidRDefault="000626A9" w:rsidP="000626A9">
      <w:pPr>
        <w:pStyle w:val="Default"/>
        <w:rPr>
          <w:sz w:val="48"/>
          <w:szCs w:val="48"/>
        </w:rPr>
      </w:pPr>
    </w:p>
    <w:p w14:paraId="42F9A33B" w14:textId="5921DB41" w:rsidR="000626A9" w:rsidRDefault="000626A9" w:rsidP="000626A9">
      <w:pPr>
        <w:pStyle w:val="Default"/>
        <w:rPr>
          <w:sz w:val="23"/>
          <w:szCs w:val="23"/>
        </w:rPr>
      </w:pPr>
      <w:r>
        <w:rPr>
          <w:sz w:val="23"/>
          <w:szCs w:val="23"/>
        </w:rPr>
        <w:t>By John Greer, Esq.</w:t>
      </w:r>
    </w:p>
    <w:p w14:paraId="02E530DF" w14:textId="77777777" w:rsidR="000626A9" w:rsidRDefault="000626A9" w:rsidP="000626A9">
      <w:pPr>
        <w:pStyle w:val="Default"/>
        <w:rPr>
          <w:sz w:val="48"/>
          <w:szCs w:val="48"/>
        </w:rPr>
      </w:pPr>
    </w:p>
    <w:p w14:paraId="7DF7EC64" w14:textId="77777777" w:rsidR="000626A9" w:rsidRDefault="000626A9" w:rsidP="000626A9">
      <w:pPr>
        <w:pStyle w:val="Default"/>
        <w:rPr>
          <w:sz w:val="23"/>
          <w:szCs w:val="23"/>
        </w:rPr>
      </w:pPr>
      <w:r>
        <w:rPr>
          <w:rFonts w:ascii="Bookman Old Style" w:hAnsi="Bookman Old Style" w:cs="Bookman Old Style"/>
          <w:sz w:val="23"/>
          <w:szCs w:val="23"/>
        </w:rPr>
        <w:t xml:space="preserve">The Education Committee of the ADR Section Council is proud to announce the successful rollout of its “ADR-in-a-Box” video at the Maryland Mediators Convention in December. The video is available for use free of charge by anyone who wishes to promote the use of ADR in Maryland, including lawyers, government entities, public and private institutions, and academics. </w:t>
      </w:r>
    </w:p>
    <w:p w14:paraId="2B34AFFD" w14:textId="42A4947C" w:rsidR="000626A9" w:rsidRDefault="000626A9" w:rsidP="000626A9">
      <w:pPr>
        <w:pStyle w:val="Default"/>
        <w:rPr>
          <w:rFonts w:ascii="Bookman Old Style" w:hAnsi="Bookman Old Style" w:cs="Bookman Old Style"/>
          <w:sz w:val="23"/>
          <w:szCs w:val="23"/>
        </w:rPr>
      </w:pPr>
      <w:r>
        <w:rPr>
          <w:rFonts w:ascii="Bookman Old Style" w:hAnsi="Bookman Old Style" w:cs="Bookman Old Style"/>
          <w:sz w:val="23"/>
          <w:szCs w:val="23"/>
        </w:rPr>
        <w:t xml:space="preserve">The video is one piece of a set of pre-packaged materials, called “ADR-in-a-Box” for short, under development by our Section. The concept is to compile presentation aids (i.e., the “Box”) that people can draw upon to explain how ADR works and provide basic information about it. The video portion of the “Box” displays four types of ADR (mediation, settlement conferencing, collaborative session, and community conferencing) using the same fact pattern of a neighbor dispute. Here is a link to the video: </w:t>
      </w:r>
      <w:hyperlink r:id="rId4" w:history="1">
        <w:r w:rsidRPr="00AE126D">
          <w:rPr>
            <w:rStyle w:val="Hyperlink"/>
            <w:rFonts w:ascii="Bookman Old Style" w:hAnsi="Bookman Old Style" w:cs="Bookman Old Style"/>
            <w:b/>
            <w:bCs/>
            <w:sz w:val="23"/>
            <w:szCs w:val="23"/>
          </w:rPr>
          <w:t>ADR-in-a-Box Video</w:t>
        </w:r>
      </w:hyperlink>
      <w:r>
        <w:rPr>
          <w:rFonts w:ascii="Bookman Old Style" w:hAnsi="Bookman Old Style" w:cs="Bookman Old Style"/>
          <w:b/>
          <w:bCs/>
          <w:sz w:val="23"/>
          <w:szCs w:val="23"/>
        </w:rPr>
        <w:t xml:space="preserve"> </w:t>
      </w:r>
      <w:r>
        <w:rPr>
          <w:rFonts w:ascii="Bookman Old Style" w:hAnsi="Bookman Old Style" w:cs="Bookman Old Style"/>
          <w:sz w:val="23"/>
          <w:szCs w:val="23"/>
        </w:rPr>
        <w:t xml:space="preserve">(the video can also be found at </w:t>
      </w:r>
      <w:hyperlink r:id="rId5" w:history="1">
        <w:r w:rsidR="00AE126D" w:rsidRPr="00AE126D">
          <w:rPr>
            <w:rStyle w:val="Hyperlink"/>
            <w:rFonts w:ascii="Bookman Old Style" w:hAnsi="Bookman Old Style"/>
            <w:b/>
            <w:bCs/>
          </w:rPr>
          <w:t>https://vimeo.com/276072547</w:t>
        </w:r>
      </w:hyperlink>
      <w:bookmarkStart w:id="0" w:name="_GoBack"/>
      <w:r w:rsidR="004D26F6" w:rsidRPr="004D26F6">
        <w:rPr>
          <w:rFonts w:ascii="Bookman Old Style" w:hAnsi="Bookman Old Style"/>
        </w:rPr>
        <w:t>)</w:t>
      </w:r>
      <w:bookmarkEnd w:id="0"/>
      <w:r w:rsidR="004D26F6">
        <w:rPr>
          <w:rFonts w:ascii="Bookman Old Style" w:hAnsi="Bookman Old Style"/>
          <w:b/>
          <w:bCs/>
        </w:rPr>
        <w:t xml:space="preserve"> </w:t>
      </w:r>
      <w:r w:rsidRPr="00AE126D">
        <w:rPr>
          <w:rFonts w:ascii="Bookman Old Style" w:hAnsi="Bookman Old Style"/>
          <w:sz w:val="23"/>
          <w:szCs w:val="23"/>
        </w:rPr>
        <w:t>as well as</w:t>
      </w:r>
      <w:r>
        <w:rPr>
          <w:sz w:val="23"/>
          <w:szCs w:val="23"/>
        </w:rPr>
        <w:t xml:space="preserve"> </w:t>
      </w:r>
      <w:hyperlink r:id="rId6" w:history="1">
        <w:r w:rsidR="00AE126D" w:rsidRPr="00037952">
          <w:rPr>
            <w:rStyle w:val="Hyperlink"/>
            <w:rFonts w:ascii="Bookman Old Style" w:hAnsi="Bookman Old Style" w:cs="Bookman Old Style"/>
            <w:b/>
            <w:bCs/>
            <w:sz w:val="23"/>
            <w:szCs w:val="23"/>
          </w:rPr>
          <w:t>https://www.msba.org/for-members/sections/a</w:t>
        </w:r>
        <w:r w:rsidR="00AE126D" w:rsidRPr="00037952">
          <w:rPr>
            <w:rStyle w:val="Hyperlink"/>
            <w:rFonts w:ascii="Bookman Old Style" w:hAnsi="Bookman Old Style" w:cs="Bookman Old Style"/>
            <w:b/>
            <w:bCs/>
            <w:sz w:val="23"/>
            <w:szCs w:val="23"/>
          </w:rPr>
          <w:t>dr</w:t>
        </w:r>
        <w:r w:rsidR="00AE126D" w:rsidRPr="00037952">
          <w:rPr>
            <w:rStyle w:val="Hyperlink"/>
            <w:rFonts w:ascii="Bookman Old Style" w:hAnsi="Bookman Old Style" w:cs="Bookman Old Style"/>
            <w:b/>
            <w:bCs/>
            <w:sz w:val="23"/>
            <w:szCs w:val="23"/>
          </w:rPr>
          <w:t>/</w:t>
        </w:r>
      </w:hyperlink>
      <w:r>
        <w:rPr>
          <w:rFonts w:ascii="Bookman Old Style" w:hAnsi="Bookman Old Style" w:cs="Bookman Old Style"/>
          <w:sz w:val="23"/>
          <w:szCs w:val="23"/>
        </w:rPr>
        <w:t xml:space="preserve">). </w:t>
      </w:r>
    </w:p>
    <w:p w14:paraId="4FFF4B97" w14:textId="77777777" w:rsidR="000626A9" w:rsidRDefault="000626A9" w:rsidP="000626A9">
      <w:pPr>
        <w:pStyle w:val="Default"/>
        <w:rPr>
          <w:sz w:val="23"/>
          <w:szCs w:val="23"/>
        </w:rPr>
      </w:pPr>
    </w:p>
    <w:p w14:paraId="1F5059E6" w14:textId="5A88D686" w:rsidR="000626A9" w:rsidRDefault="000626A9" w:rsidP="000626A9">
      <w:pPr>
        <w:pStyle w:val="Default"/>
        <w:rPr>
          <w:rFonts w:ascii="Bookman Old Style" w:hAnsi="Bookman Old Style" w:cs="Bookman Old Style"/>
          <w:sz w:val="23"/>
          <w:szCs w:val="23"/>
        </w:rPr>
      </w:pPr>
      <w:r>
        <w:rPr>
          <w:rFonts w:ascii="Bookman Old Style" w:hAnsi="Bookman Old Style" w:cs="Bookman Old Style"/>
          <w:sz w:val="23"/>
          <w:szCs w:val="23"/>
        </w:rPr>
        <w:t xml:space="preserve">At the Convention, the Committee sought and received excellent audience feedback on two questions: </w:t>
      </w:r>
    </w:p>
    <w:p w14:paraId="4E9AAADF" w14:textId="77777777" w:rsidR="000626A9" w:rsidRDefault="000626A9" w:rsidP="000626A9">
      <w:pPr>
        <w:pStyle w:val="Default"/>
        <w:rPr>
          <w:sz w:val="23"/>
          <w:szCs w:val="23"/>
        </w:rPr>
      </w:pPr>
    </w:p>
    <w:p w14:paraId="68958FFD" w14:textId="1E99FED6" w:rsidR="000626A9" w:rsidRDefault="000626A9" w:rsidP="000626A9">
      <w:pPr>
        <w:pStyle w:val="Default"/>
        <w:rPr>
          <w:rFonts w:ascii="Bookman Old Style" w:hAnsi="Bookman Old Style" w:cs="Bookman Old Style"/>
          <w:sz w:val="23"/>
          <w:szCs w:val="23"/>
        </w:rPr>
      </w:pPr>
      <w:r>
        <w:rPr>
          <w:rFonts w:ascii="Bookman Old Style" w:hAnsi="Bookman Old Style" w:cs="Bookman Old Style"/>
          <w:sz w:val="23"/>
          <w:szCs w:val="23"/>
        </w:rPr>
        <w:t xml:space="preserve">1) How can ADR-in-a-Box be used to educate the public about dispute resolution processes outside the court system? The audience suggested the Committee identify organizations with which to partner about getting the ADR message to a wider audience. It also suggested we utilize a variety of technological avenues (e.g., websites, social media outlets, and video loops in judicial and professional waiting rooms) for broadly distributing the video and other “Box” materials. </w:t>
      </w:r>
    </w:p>
    <w:p w14:paraId="14D218B5" w14:textId="77777777" w:rsidR="000626A9" w:rsidRDefault="000626A9" w:rsidP="000626A9">
      <w:pPr>
        <w:pStyle w:val="Default"/>
        <w:rPr>
          <w:sz w:val="23"/>
          <w:szCs w:val="23"/>
        </w:rPr>
      </w:pPr>
    </w:p>
    <w:p w14:paraId="65DDFBE1" w14:textId="3618CFCC" w:rsidR="002D2135" w:rsidRPr="002D2135" w:rsidRDefault="000626A9" w:rsidP="002D2135">
      <w:pPr>
        <w:rPr>
          <w:rFonts w:ascii="Bookman Old Style" w:hAnsi="Bookman Old Style" w:cs="Bookman Old Style"/>
          <w:sz w:val="23"/>
          <w:szCs w:val="23"/>
        </w:rPr>
      </w:pPr>
      <w:r>
        <w:rPr>
          <w:rFonts w:ascii="Bookman Old Style" w:hAnsi="Bookman Old Style" w:cs="Bookman Old Style"/>
          <w:sz w:val="23"/>
          <w:szCs w:val="23"/>
        </w:rPr>
        <w:t>2) What are some suggestions to assist professionals in growing their practices by using ADR-in-a-Box? Comments were received about encouraging individuals to make presentations around the state on the benefits of ADR, demonstrating how ADR-in-a-Box could be used in the office during client intake, linking the video to professional websites, and segmenting it for specialized purposes.</w:t>
      </w:r>
    </w:p>
    <w:p w14:paraId="1014E598" w14:textId="2332CF79" w:rsidR="002D2135" w:rsidRDefault="002D2135" w:rsidP="002D2135">
      <w:pPr>
        <w:pStyle w:val="Default"/>
        <w:rPr>
          <w:rFonts w:ascii="Bookman Old Style" w:hAnsi="Bookman Old Style" w:cs="Bookman Old Style"/>
          <w:sz w:val="23"/>
          <w:szCs w:val="23"/>
        </w:rPr>
      </w:pPr>
      <w:r>
        <w:rPr>
          <w:rFonts w:ascii="Bookman Old Style" w:hAnsi="Bookman Old Style" w:cs="Bookman Old Style"/>
          <w:sz w:val="23"/>
          <w:szCs w:val="23"/>
        </w:rPr>
        <w:t>The Committee appreciates these comments and is actively weighing them for implementation.</w:t>
      </w:r>
    </w:p>
    <w:p w14:paraId="6F4E274D" w14:textId="77777777" w:rsidR="002D2135" w:rsidRDefault="002D2135" w:rsidP="002D2135">
      <w:pPr>
        <w:pStyle w:val="Default"/>
        <w:rPr>
          <w:sz w:val="23"/>
          <w:szCs w:val="23"/>
        </w:rPr>
      </w:pPr>
    </w:p>
    <w:p w14:paraId="45768A21" w14:textId="77777777" w:rsidR="002D2135" w:rsidRDefault="002D2135" w:rsidP="002D2135">
      <w:pPr>
        <w:pStyle w:val="Default"/>
        <w:rPr>
          <w:rFonts w:ascii="Bookman Old Style" w:hAnsi="Bookman Old Style" w:cs="Bookman Old Style"/>
          <w:sz w:val="23"/>
          <w:szCs w:val="23"/>
        </w:rPr>
      </w:pPr>
    </w:p>
    <w:p w14:paraId="19354A21" w14:textId="77777777" w:rsidR="002D2135" w:rsidRDefault="002D2135" w:rsidP="002D2135">
      <w:pPr>
        <w:pStyle w:val="Default"/>
        <w:rPr>
          <w:rFonts w:ascii="Bookman Old Style" w:hAnsi="Bookman Old Style" w:cs="Bookman Old Style"/>
          <w:sz w:val="23"/>
          <w:szCs w:val="23"/>
        </w:rPr>
      </w:pPr>
    </w:p>
    <w:p w14:paraId="0CB8BF8E" w14:textId="2C6995B4" w:rsidR="002D2135" w:rsidRDefault="002D2135" w:rsidP="002D2135">
      <w:pPr>
        <w:pStyle w:val="Default"/>
        <w:rPr>
          <w:rFonts w:ascii="Bookman Old Style" w:hAnsi="Bookman Old Style" w:cs="Bookman Old Style"/>
          <w:sz w:val="23"/>
          <w:szCs w:val="23"/>
        </w:rPr>
      </w:pPr>
      <w:r>
        <w:rPr>
          <w:rFonts w:ascii="Bookman Old Style" w:hAnsi="Bookman Old Style" w:cs="Bookman Old Style"/>
          <w:sz w:val="23"/>
          <w:szCs w:val="23"/>
        </w:rPr>
        <w:lastRenderedPageBreak/>
        <w:t xml:space="preserve">The video was well received at the Convention, as shown by these survey responses: </w:t>
      </w:r>
    </w:p>
    <w:p w14:paraId="69A0D954" w14:textId="77777777" w:rsidR="002D2135" w:rsidRDefault="002D2135" w:rsidP="002D2135">
      <w:pPr>
        <w:pStyle w:val="Default"/>
        <w:rPr>
          <w:sz w:val="23"/>
          <w:szCs w:val="23"/>
        </w:rPr>
      </w:pPr>
    </w:p>
    <w:p w14:paraId="26995B11" w14:textId="77777777" w:rsidR="002D2135" w:rsidRDefault="002D2135" w:rsidP="002D2135">
      <w:pPr>
        <w:pStyle w:val="Default"/>
        <w:rPr>
          <w:sz w:val="23"/>
          <w:szCs w:val="23"/>
        </w:rPr>
      </w:pPr>
      <w:r>
        <w:rPr>
          <w:rFonts w:ascii="Bookman Old Style" w:hAnsi="Bookman Old Style" w:cs="Bookman Old Style"/>
          <w:sz w:val="23"/>
          <w:szCs w:val="23"/>
        </w:rPr>
        <w:t xml:space="preserve">“The video will be a great tool going forward.” </w:t>
      </w:r>
    </w:p>
    <w:p w14:paraId="644762A8" w14:textId="77777777" w:rsidR="002D2135" w:rsidRDefault="002D2135" w:rsidP="002D2135">
      <w:pPr>
        <w:pStyle w:val="Default"/>
        <w:rPr>
          <w:sz w:val="23"/>
          <w:szCs w:val="23"/>
        </w:rPr>
      </w:pPr>
      <w:r>
        <w:rPr>
          <w:rFonts w:ascii="Bookman Old Style" w:hAnsi="Bookman Old Style" w:cs="Bookman Old Style"/>
          <w:sz w:val="23"/>
          <w:szCs w:val="23"/>
        </w:rPr>
        <w:t xml:space="preserve">“The video was excellent!” </w:t>
      </w:r>
    </w:p>
    <w:p w14:paraId="21A0ABD0" w14:textId="77777777" w:rsidR="002D2135" w:rsidRDefault="002D2135" w:rsidP="002D2135">
      <w:pPr>
        <w:pStyle w:val="Default"/>
        <w:rPr>
          <w:sz w:val="23"/>
          <w:szCs w:val="23"/>
        </w:rPr>
      </w:pPr>
      <w:r>
        <w:rPr>
          <w:rFonts w:ascii="Bookman Old Style" w:hAnsi="Bookman Old Style" w:cs="Bookman Old Style"/>
          <w:sz w:val="23"/>
          <w:szCs w:val="23"/>
        </w:rPr>
        <w:t xml:space="preserve">“Exciting resource with great potential to educate others.” </w:t>
      </w:r>
    </w:p>
    <w:p w14:paraId="2BEC09CE" w14:textId="5ABE5B88" w:rsidR="002D2135" w:rsidRDefault="002D2135" w:rsidP="002D2135">
      <w:pPr>
        <w:pStyle w:val="Default"/>
        <w:rPr>
          <w:rFonts w:ascii="Bookman Old Style" w:hAnsi="Bookman Old Style" w:cs="Bookman Old Style"/>
          <w:sz w:val="23"/>
          <w:szCs w:val="23"/>
        </w:rPr>
      </w:pPr>
      <w:r>
        <w:rPr>
          <w:rFonts w:ascii="Bookman Old Style" w:hAnsi="Bookman Old Style" w:cs="Bookman Old Style"/>
          <w:sz w:val="23"/>
          <w:szCs w:val="23"/>
        </w:rPr>
        <w:t xml:space="preserve">“What a great tool to use to tell about ADR.” </w:t>
      </w:r>
    </w:p>
    <w:p w14:paraId="53CA5F73" w14:textId="77777777" w:rsidR="002D2135" w:rsidRDefault="002D2135" w:rsidP="002D2135">
      <w:pPr>
        <w:pStyle w:val="Default"/>
        <w:rPr>
          <w:sz w:val="23"/>
          <w:szCs w:val="23"/>
        </w:rPr>
      </w:pPr>
    </w:p>
    <w:p w14:paraId="1940E301" w14:textId="680AE2ED" w:rsidR="002D2135" w:rsidRDefault="002D2135" w:rsidP="002D2135">
      <w:pPr>
        <w:pStyle w:val="Default"/>
        <w:rPr>
          <w:rFonts w:ascii="Bookman Old Style" w:hAnsi="Bookman Old Style" w:cs="Bookman Old Style"/>
          <w:sz w:val="23"/>
          <w:szCs w:val="23"/>
        </w:rPr>
      </w:pPr>
      <w:r>
        <w:rPr>
          <w:rFonts w:ascii="Bookman Old Style" w:hAnsi="Bookman Old Style" w:cs="Bookman Old Style"/>
          <w:sz w:val="23"/>
          <w:szCs w:val="23"/>
        </w:rPr>
        <w:t xml:space="preserve">For more information, please contact the ADR Section Council at </w:t>
      </w:r>
      <w:hyperlink r:id="rId7" w:history="1">
        <w:r w:rsidRPr="00037952">
          <w:rPr>
            <w:rStyle w:val="Hyperlink"/>
            <w:rFonts w:ascii="Bookman Old Style" w:hAnsi="Bookman Old Style" w:cs="Bookman Old Style"/>
            <w:b/>
            <w:bCs/>
            <w:sz w:val="23"/>
            <w:szCs w:val="23"/>
          </w:rPr>
          <w:t>info@msba.org</w:t>
        </w:r>
      </w:hyperlink>
      <w:r>
        <w:rPr>
          <w:rFonts w:ascii="Bookman Old Style" w:hAnsi="Bookman Old Style" w:cs="Bookman Old Style"/>
          <w:sz w:val="23"/>
          <w:szCs w:val="23"/>
        </w:rPr>
        <w:t xml:space="preserve">. </w:t>
      </w:r>
    </w:p>
    <w:p w14:paraId="00516A67" w14:textId="77777777" w:rsidR="002D2135" w:rsidRDefault="002D2135" w:rsidP="002D2135">
      <w:pPr>
        <w:pStyle w:val="Default"/>
        <w:rPr>
          <w:sz w:val="23"/>
          <w:szCs w:val="23"/>
        </w:rPr>
      </w:pPr>
    </w:p>
    <w:p w14:paraId="2ABBFBE1" w14:textId="7CE10C74" w:rsidR="002D2135" w:rsidRDefault="002D2135" w:rsidP="002D2135">
      <w:pPr>
        <w:rPr>
          <w:rFonts w:ascii="Bookman Old Style" w:hAnsi="Bookman Old Style" w:cs="Bookman Old Style"/>
          <w:sz w:val="23"/>
          <w:szCs w:val="23"/>
        </w:rPr>
      </w:pPr>
      <w:r>
        <w:rPr>
          <w:rFonts w:ascii="Bookman Old Style" w:hAnsi="Bookman Old Style" w:cs="Bookman Old Style"/>
          <w:sz w:val="23"/>
          <w:szCs w:val="23"/>
        </w:rPr>
        <w:t>Pictured below: ADR Section Council members, Andrew Fontanella, Esq. and John Greer, Esq. unveiling ADR-in-a-</w:t>
      </w:r>
      <w:r>
        <w:rPr>
          <w:rFonts w:ascii="Bookman Old Style" w:hAnsi="Bookman Old Style" w:cs="Bookman Old Style"/>
          <w:sz w:val="23"/>
          <w:szCs w:val="23"/>
        </w:rPr>
        <w:t>B</w:t>
      </w:r>
      <w:r>
        <w:rPr>
          <w:rFonts w:ascii="Bookman Old Style" w:hAnsi="Bookman Old Style" w:cs="Bookman Old Style"/>
          <w:sz w:val="23"/>
          <w:szCs w:val="23"/>
        </w:rPr>
        <w:t>ox.</w:t>
      </w:r>
    </w:p>
    <w:p w14:paraId="60A7BB32" w14:textId="1DC54D26" w:rsidR="00993A9E" w:rsidRDefault="00993A9E" w:rsidP="002D2135">
      <w:pPr>
        <w:rPr>
          <w:rFonts w:ascii="Bookman Old Style" w:hAnsi="Bookman Old Style" w:cs="Bookman Old Style"/>
          <w:sz w:val="23"/>
          <w:szCs w:val="23"/>
        </w:rPr>
      </w:pPr>
    </w:p>
    <w:p w14:paraId="352D786E" w14:textId="1C65E4BD" w:rsidR="00993A9E" w:rsidRDefault="00993A9E" w:rsidP="002D2135">
      <w:r w:rsidRPr="00993A9E">
        <w:rPr>
          <w:noProof/>
        </w:rPr>
        <w:drawing>
          <wp:inline distT="0" distB="0" distL="0" distR="0" wp14:anchorId="0192DB43" wp14:editId="195992EA">
            <wp:extent cx="1062990" cy="14173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17320"/>
                    </a:xfrm>
                    <a:prstGeom prst="rect">
                      <a:avLst/>
                    </a:prstGeom>
                    <a:noFill/>
                    <a:ln>
                      <a:noFill/>
                    </a:ln>
                  </pic:spPr>
                </pic:pic>
              </a:graphicData>
            </a:graphic>
          </wp:inline>
        </w:drawing>
      </w:r>
    </w:p>
    <w:sectPr w:rsidR="00993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6A9"/>
    <w:rsid w:val="000626A9"/>
    <w:rsid w:val="0016230D"/>
    <w:rsid w:val="002D2135"/>
    <w:rsid w:val="004D26F6"/>
    <w:rsid w:val="00993A9E"/>
    <w:rsid w:val="00AE126D"/>
    <w:rsid w:val="00D214C4"/>
    <w:rsid w:val="00D5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64BCC"/>
  <w15:chartTrackingRefBased/>
  <w15:docId w15:val="{198C8271-5D81-47A4-9782-516B5882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6A9"/>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0626A9"/>
    <w:rPr>
      <w:color w:val="0563C1" w:themeColor="hyperlink"/>
      <w:u w:val="single"/>
    </w:rPr>
  </w:style>
  <w:style w:type="character" w:styleId="UnresolvedMention">
    <w:name w:val="Unresolved Mention"/>
    <w:basedOn w:val="DefaultParagraphFont"/>
    <w:uiPriority w:val="99"/>
    <w:semiHidden/>
    <w:unhideWhenUsed/>
    <w:rsid w:val="00062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mailto:info@msb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sba.org/for-members/sections/adr/" TargetMode="External"/><Relationship Id="rId5" Type="http://schemas.openxmlformats.org/officeDocument/2006/relationships/hyperlink" Target="https://vimeo.com/276072547" TargetMode="External"/><Relationship Id="rId10" Type="http://schemas.openxmlformats.org/officeDocument/2006/relationships/theme" Target="theme/theme1.xml"/><Relationship Id="rId4" Type="http://schemas.openxmlformats.org/officeDocument/2006/relationships/hyperlink" Target="https://vimeo.com/27607254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Greer</dc:creator>
  <cp:keywords/>
  <dc:description/>
  <cp:lastModifiedBy>John Greer</cp:lastModifiedBy>
  <cp:revision>6</cp:revision>
  <dcterms:created xsi:type="dcterms:W3CDTF">2019-06-07T21:47:00Z</dcterms:created>
  <dcterms:modified xsi:type="dcterms:W3CDTF">2019-06-07T21:55:00Z</dcterms:modified>
</cp:coreProperties>
</file>